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B82C3" w14:textId="724CDE2C" w:rsidR="00B338A6" w:rsidRPr="00B338A6" w:rsidRDefault="00B338A6" w:rsidP="00B338A6">
      <w:pPr>
        <w:pStyle w:val="Titel"/>
        <w:rPr>
          <w:lang w:val="nl-NL"/>
        </w:rPr>
      </w:pPr>
      <w:r w:rsidRPr="00B338A6">
        <w:rPr>
          <w:lang w:val="nl-NL"/>
        </w:rPr>
        <w:t>JWG Financieel verslag 202</w:t>
      </w:r>
      <w:r w:rsidR="00CD3EC2">
        <w:rPr>
          <w:lang w:val="nl-NL"/>
        </w:rPr>
        <w:t>4</w:t>
      </w:r>
    </w:p>
    <w:p w14:paraId="4C1FE281" w14:textId="77777777" w:rsidR="00B338A6" w:rsidRPr="00B338A6" w:rsidRDefault="00B338A6" w:rsidP="00B338A6">
      <w:pPr>
        <w:rPr>
          <w:lang w:val="nl-NL"/>
        </w:rPr>
      </w:pPr>
    </w:p>
    <w:p w14:paraId="6C7D0E17" w14:textId="64CED55C" w:rsidR="00B338A6" w:rsidRPr="00B338A6" w:rsidRDefault="002177B8">
      <w:pPr>
        <w:rPr>
          <w:lang w:val="nl-NL"/>
        </w:rPr>
      </w:pPr>
      <w:r>
        <w:rPr>
          <w:lang w:val="nl-NL"/>
        </w:rPr>
        <w:t>Het jaar 20</w:t>
      </w:r>
      <w:r w:rsidR="00CD3EC2">
        <w:rPr>
          <w:lang w:val="nl-NL"/>
        </w:rPr>
        <w:t>24</w:t>
      </w:r>
      <w:r>
        <w:rPr>
          <w:lang w:val="nl-NL"/>
        </w:rPr>
        <w:t xml:space="preserve"> is voorbij en de ALV is nabij.</w:t>
      </w:r>
      <w:r>
        <w:rPr>
          <w:lang w:val="nl-NL"/>
        </w:rPr>
        <w:br/>
        <w:t>Hier is er documentatie van onze financiële situatie.</w:t>
      </w:r>
      <w:r>
        <w:rPr>
          <w:lang w:val="nl-NL"/>
        </w:rPr>
        <w:br/>
      </w:r>
      <w:r>
        <w:rPr>
          <w:lang w:val="nl-NL"/>
        </w:rPr>
        <w:br/>
        <w:t xml:space="preserve">Het belangrijkste thema dit jaar is het contributie. </w:t>
      </w:r>
      <w:r w:rsidR="00CD3EC2">
        <w:rPr>
          <w:lang w:val="nl-NL"/>
        </w:rPr>
        <w:t xml:space="preserve">We hebben meer op de contributie gezeten dit jaar een ook voor de handmatige contributie fysieke brieven gestuurd. Echter waren er nog veel leden waarvan wij geen gehoor hebben gekregen. Deze wanbetalers zijn uitgescheven en hebben de UV’s voor begin 2025 ook niet ontvangen. </w:t>
      </w:r>
    </w:p>
    <w:p w14:paraId="4FAE1FD3" w14:textId="432D3D36" w:rsidR="00B338A6" w:rsidRDefault="00B338A6" w:rsidP="00B338A6">
      <w:pPr>
        <w:pStyle w:val="Kop2"/>
        <w:rPr>
          <w:lang w:val="nl-NL"/>
        </w:rPr>
      </w:pPr>
      <w:r w:rsidRPr="00B338A6">
        <w:rPr>
          <w:lang w:val="nl-NL"/>
        </w:rPr>
        <w:t>Contributie</w:t>
      </w:r>
    </w:p>
    <w:p w14:paraId="66092388" w14:textId="73CC5504" w:rsidR="002177B8" w:rsidRPr="002177B8" w:rsidRDefault="006F53C1" w:rsidP="002177B8">
      <w:pPr>
        <w:rPr>
          <w:lang w:val="nl-NL"/>
        </w:rPr>
      </w:pPr>
      <w:r>
        <w:rPr>
          <w:lang w:val="nl-NL"/>
        </w:rPr>
        <w:t xml:space="preserve">Voor 2024 was er een incasso in april en werden emails en brieven met de UV verstuurd voor de handmatige incasso. </w:t>
      </w:r>
      <w:r w:rsidR="003B7268">
        <w:rPr>
          <w:lang w:val="nl-NL"/>
        </w:rPr>
        <w:t>Echter is het toch aardig minder geworden dan verwacht. Dit komt omdat bij de begroting vorig jaar de verkeerde cijfers uit het ledenbestand waren opgenomen en veel van deze mensen waren geen lid meer. Bij de incasso is er veel gestorneerd en ook bleken we een incasso van iemand die al drie jaar geen lid meer was te innen. We hebben dit geretourneerd en iedereen die geen lid meer bleek te zijn uit het ledenbestand gehaald. Dit ging om minstens 50 man.</w:t>
      </w:r>
    </w:p>
    <w:tbl>
      <w:tblPr>
        <w:tblStyle w:val="Tabelraster"/>
        <w:tblW w:w="7023" w:type="dxa"/>
        <w:tblLayout w:type="fixed"/>
        <w:tblLook w:val="04A0" w:firstRow="1" w:lastRow="0" w:firstColumn="1" w:lastColumn="0" w:noHBand="0" w:noVBand="1"/>
      </w:tblPr>
      <w:tblGrid>
        <w:gridCol w:w="2393"/>
        <w:gridCol w:w="2289"/>
        <w:gridCol w:w="2341"/>
      </w:tblGrid>
      <w:tr w:rsidR="003B7268" w14:paraId="383E14C1" w14:textId="77777777" w:rsidTr="003B7268">
        <w:tc>
          <w:tcPr>
            <w:tcW w:w="2393" w:type="dxa"/>
          </w:tcPr>
          <w:p w14:paraId="5EFF5D05" w14:textId="50CF0E77" w:rsidR="003B7268" w:rsidRDefault="003B7268" w:rsidP="006F53C1">
            <w:pPr>
              <w:tabs>
                <w:tab w:val="center" w:pos="1088"/>
              </w:tabs>
              <w:rPr>
                <w:lang w:val="nl-NL"/>
              </w:rPr>
            </w:pPr>
            <w:r>
              <w:rPr>
                <w:lang w:val="nl-NL"/>
              </w:rPr>
              <w:t>2024</w:t>
            </w:r>
            <w:r>
              <w:rPr>
                <w:lang w:val="nl-NL"/>
              </w:rPr>
              <w:tab/>
            </w:r>
          </w:p>
        </w:tc>
        <w:tc>
          <w:tcPr>
            <w:tcW w:w="2289" w:type="dxa"/>
          </w:tcPr>
          <w:p w14:paraId="05A072D8" w14:textId="77777777" w:rsidR="003B7268" w:rsidRDefault="003B7268" w:rsidP="000B35BE">
            <w:pPr>
              <w:rPr>
                <w:lang w:val="nl-NL"/>
              </w:rPr>
            </w:pPr>
            <w:r>
              <w:rPr>
                <w:rFonts w:eastAsia="Calibri" w:cs="Arial"/>
                <w:lang w:val="nl-NL"/>
              </w:rPr>
              <w:t>Begroot</w:t>
            </w:r>
          </w:p>
        </w:tc>
        <w:tc>
          <w:tcPr>
            <w:tcW w:w="2341" w:type="dxa"/>
          </w:tcPr>
          <w:p w14:paraId="77627CC4" w14:textId="77777777" w:rsidR="003B7268" w:rsidRDefault="003B7268" w:rsidP="000B35BE">
            <w:pPr>
              <w:rPr>
                <w:lang w:val="nl-NL"/>
              </w:rPr>
            </w:pPr>
            <w:r>
              <w:rPr>
                <w:rFonts w:eastAsia="Calibri" w:cs="Arial"/>
                <w:lang w:val="nl-NL"/>
              </w:rPr>
              <w:t>Gekregen</w:t>
            </w:r>
          </w:p>
        </w:tc>
      </w:tr>
      <w:tr w:rsidR="003B7268" w14:paraId="4656B751" w14:textId="77777777" w:rsidTr="003B7268">
        <w:tc>
          <w:tcPr>
            <w:tcW w:w="2393" w:type="dxa"/>
          </w:tcPr>
          <w:p w14:paraId="40AF096E" w14:textId="77777777" w:rsidR="003B7268" w:rsidRDefault="003B7268" w:rsidP="000B35BE">
            <w:pPr>
              <w:rPr>
                <w:lang w:val="nl-NL"/>
              </w:rPr>
            </w:pPr>
            <w:r>
              <w:rPr>
                <w:rFonts w:eastAsia="Calibri" w:cs="Arial"/>
                <w:lang w:val="nl-NL"/>
              </w:rPr>
              <w:t>Contributie gewoon</w:t>
            </w:r>
          </w:p>
        </w:tc>
        <w:tc>
          <w:tcPr>
            <w:tcW w:w="2289" w:type="dxa"/>
          </w:tcPr>
          <w:p w14:paraId="16098838" w14:textId="2769B1AD" w:rsidR="003B7268" w:rsidRDefault="003B7268" w:rsidP="000B35BE">
            <w:pPr>
              <w:rPr>
                <w:lang w:val="nl-NL"/>
              </w:rPr>
            </w:pPr>
            <w:r>
              <w:rPr>
                <w:rFonts w:eastAsia="Calibri" w:cs="Arial"/>
                <w:lang w:val="nl-NL"/>
              </w:rPr>
              <w:t>9870</w:t>
            </w:r>
          </w:p>
        </w:tc>
        <w:tc>
          <w:tcPr>
            <w:tcW w:w="2341" w:type="dxa"/>
          </w:tcPr>
          <w:p w14:paraId="06BB9C39" w14:textId="6FAEEFD5" w:rsidR="003B7268" w:rsidRDefault="003B7268" w:rsidP="000B35BE">
            <w:pPr>
              <w:rPr>
                <w:lang w:val="nl-NL"/>
              </w:rPr>
            </w:pPr>
            <w:r>
              <w:rPr>
                <w:rFonts w:eastAsia="Calibri" w:cs="Arial"/>
                <w:lang w:val="nl-NL"/>
              </w:rPr>
              <w:t>8431</w:t>
            </w:r>
          </w:p>
        </w:tc>
      </w:tr>
      <w:tr w:rsidR="003B7268" w14:paraId="6EFB595B" w14:textId="77777777" w:rsidTr="003B7268">
        <w:tc>
          <w:tcPr>
            <w:tcW w:w="2393" w:type="dxa"/>
          </w:tcPr>
          <w:p w14:paraId="07C3878E" w14:textId="77777777" w:rsidR="003B7268" w:rsidRDefault="003B7268" w:rsidP="000B35BE">
            <w:pPr>
              <w:rPr>
                <w:lang w:val="nl-NL"/>
              </w:rPr>
            </w:pPr>
            <w:r>
              <w:rPr>
                <w:rFonts w:eastAsia="Calibri" w:cs="Arial"/>
                <w:lang w:val="nl-NL"/>
              </w:rPr>
              <w:t>Contributie gezin</w:t>
            </w:r>
          </w:p>
        </w:tc>
        <w:tc>
          <w:tcPr>
            <w:tcW w:w="2289" w:type="dxa"/>
          </w:tcPr>
          <w:p w14:paraId="7333FFFD" w14:textId="14D1D957" w:rsidR="003B7268" w:rsidRDefault="003B7268" w:rsidP="000B35BE">
            <w:pPr>
              <w:rPr>
                <w:lang w:val="nl-NL"/>
              </w:rPr>
            </w:pPr>
            <w:r>
              <w:rPr>
                <w:rFonts w:eastAsia="Calibri" w:cs="Arial"/>
                <w:lang w:val="nl-NL"/>
              </w:rPr>
              <w:t>774</w:t>
            </w:r>
          </w:p>
        </w:tc>
        <w:tc>
          <w:tcPr>
            <w:tcW w:w="2341" w:type="dxa"/>
          </w:tcPr>
          <w:p w14:paraId="2CF08FF6" w14:textId="3756DC04" w:rsidR="003B7268" w:rsidRDefault="003B7268" w:rsidP="000B35BE">
            <w:pPr>
              <w:rPr>
                <w:lang w:val="nl-NL"/>
              </w:rPr>
            </w:pPr>
            <w:r>
              <w:rPr>
                <w:rFonts w:eastAsia="Calibri" w:cs="Arial"/>
                <w:lang w:val="nl-NL"/>
              </w:rPr>
              <w:t>468</w:t>
            </w:r>
          </w:p>
        </w:tc>
      </w:tr>
      <w:tr w:rsidR="003B7268" w14:paraId="1B6C863A" w14:textId="77777777" w:rsidTr="003B7268">
        <w:tc>
          <w:tcPr>
            <w:tcW w:w="2393" w:type="dxa"/>
          </w:tcPr>
          <w:p w14:paraId="3B9FF6C3" w14:textId="77777777" w:rsidR="003B7268" w:rsidRDefault="003B7268" w:rsidP="000B35BE">
            <w:pPr>
              <w:rPr>
                <w:lang w:val="nl-NL"/>
              </w:rPr>
            </w:pPr>
            <w:r>
              <w:rPr>
                <w:rFonts w:eastAsia="Calibri" w:cs="Arial"/>
                <w:lang w:val="nl-NL"/>
              </w:rPr>
              <w:t>Contributie halfjaar</w:t>
            </w:r>
          </w:p>
        </w:tc>
        <w:tc>
          <w:tcPr>
            <w:tcW w:w="2289" w:type="dxa"/>
          </w:tcPr>
          <w:p w14:paraId="02CA76AD" w14:textId="599652F5" w:rsidR="003B7268" w:rsidRDefault="003B7268" w:rsidP="000B35BE">
            <w:pPr>
              <w:rPr>
                <w:lang w:val="nl-NL"/>
              </w:rPr>
            </w:pPr>
            <w:r>
              <w:rPr>
                <w:rFonts w:eastAsia="Calibri" w:cs="Arial"/>
                <w:lang w:val="nl-NL"/>
              </w:rPr>
              <w:t>210</w:t>
            </w:r>
          </w:p>
        </w:tc>
        <w:tc>
          <w:tcPr>
            <w:tcW w:w="2341" w:type="dxa"/>
          </w:tcPr>
          <w:p w14:paraId="2C378A8A" w14:textId="0658F987" w:rsidR="003B7268" w:rsidRDefault="003B7268" w:rsidP="000B35BE">
            <w:pPr>
              <w:rPr>
                <w:lang w:val="nl-NL"/>
              </w:rPr>
            </w:pPr>
            <w:r>
              <w:rPr>
                <w:rFonts w:eastAsia="Calibri" w:cs="Arial"/>
                <w:lang w:val="nl-NL"/>
              </w:rPr>
              <w:t>139</w:t>
            </w:r>
          </w:p>
        </w:tc>
      </w:tr>
    </w:tbl>
    <w:p w14:paraId="1F16FCEE" w14:textId="1438E680" w:rsidR="00B338A6" w:rsidRPr="00B338A6" w:rsidRDefault="00B338A6" w:rsidP="00B338A6">
      <w:pPr>
        <w:rPr>
          <w:lang w:val="nl-NL"/>
        </w:rPr>
      </w:pPr>
      <w:r>
        <w:rPr>
          <w:lang w:val="nl-NL"/>
        </w:rPr>
        <w:br/>
      </w:r>
      <w:r w:rsidR="002177B8">
        <w:rPr>
          <w:lang w:val="nl-NL"/>
        </w:rPr>
        <w:t xml:space="preserve">Voor de achterstallige contributie van 2022 </w:t>
      </w:r>
      <w:r w:rsidR="00CD3EC2">
        <w:rPr>
          <w:lang w:val="nl-NL"/>
        </w:rPr>
        <w:t>hebben we de niet gekregen contributie, die we wel hadden verwacht afgeschreven</w:t>
      </w:r>
      <w:r w:rsidR="002177B8">
        <w:rPr>
          <w:lang w:val="nl-NL"/>
        </w:rPr>
        <w:t>.</w:t>
      </w:r>
      <w:r w:rsidR="00CD3EC2">
        <w:rPr>
          <w:lang w:val="nl-NL"/>
        </w:rPr>
        <w:t xml:space="preserve"> De leden die niet betaald hebben zijn uitgeschreven.</w:t>
      </w:r>
    </w:p>
    <w:tbl>
      <w:tblPr>
        <w:tblStyle w:val="Tabelraster"/>
        <w:tblW w:w="9364" w:type="dxa"/>
        <w:tblLayout w:type="fixed"/>
        <w:tblLook w:val="04A0" w:firstRow="1" w:lastRow="0" w:firstColumn="1" w:lastColumn="0" w:noHBand="0" w:noVBand="1"/>
      </w:tblPr>
      <w:tblGrid>
        <w:gridCol w:w="2393"/>
        <w:gridCol w:w="2289"/>
        <w:gridCol w:w="2341"/>
        <w:gridCol w:w="2341"/>
      </w:tblGrid>
      <w:tr w:rsidR="00CD3EC2" w14:paraId="6E789811" w14:textId="681CCFDD" w:rsidTr="00CD3EC2">
        <w:tc>
          <w:tcPr>
            <w:tcW w:w="2393" w:type="dxa"/>
          </w:tcPr>
          <w:p w14:paraId="4FF206DC" w14:textId="2D7EE489" w:rsidR="00CD3EC2" w:rsidRDefault="00CD3EC2" w:rsidP="000B35BE">
            <w:pPr>
              <w:rPr>
                <w:lang w:val="nl-NL"/>
              </w:rPr>
            </w:pPr>
            <w:r>
              <w:rPr>
                <w:lang w:val="nl-NL"/>
              </w:rPr>
              <w:t>2022</w:t>
            </w:r>
          </w:p>
        </w:tc>
        <w:tc>
          <w:tcPr>
            <w:tcW w:w="2289" w:type="dxa"/>
          </w:tcPr>
          <w:p w14:paraId="12FDFBF1" w14:textId="71AF2905" w:rsidR="00CD3EC2" w:rsidRDefault="00CD3EC2" w:rsidP="000B35BE">
            <w:pPr>
              <w:rPr>
                <w:lang w:val="nl-NL"/>
              </w:rPr>
            </w:pPr>
            <w:r>
              <w:rPr>
                <w:rFonts w:eastAsia="Calibri" w:cs="Arial"/>
                <w:lang w:val="nl-NL"/>
              </w:rPr>
              <w:t>Verwacht in 2023/24</w:t>
            </w:r>
          </w:p>
        </w:tc>
        <w:tc>
          <w:tcPr>
            <w:tcW w:w="2341" w:type="dxa"/>
          </w:tcPr>
          <w:p w14:paraId="34B7141C" w14:textId="77777777" w:rsidR="00CD3EC2" w:rsidRDefault="00CD3EC2" w:rsidP="000B35BE">
            <w:pPr>
              <w:rPr>
                <w:lang w:val="nl-NL"/>
              </w:rPr>
            </w:pPr>
            <w:r>
              <w:rPr>
                <w:rFonts w:eastAsia="Calibri" w:cs="Arial"/>
                <w:lang w:val="nl-NL"/>
              </w:rPr>
              <w:t>Gekregen</w:t>
            </w:r>
          </w:p>
        </w:tc>
        <w:tc>
          <w:tcPr>
            <w:tcW w:w="2341" w:type="dxa"/>
          </w:tcPr>
          <w:p w14:paraId="345F443A" w14:textId="6789716E" w:rsidR="00CD3EC2" w:rsidRDefault="00CD3EC2" w:rsidP="000B35BE">
            <w:pPr>
              <w:rPr>
                <w:rFonts w:eastAsia="Calibri" w:cs="Arial"/>
                <w:lang w:val="nl-NL"/>
              </w:rPr>
            </w:pPr>
            <w:r>
              <w:rPr>
                <w:rFonts w:eastAsia="Calibri" w:cs="Arial"/>
                <w:lang w:val="nl-NL"/>
              </w:rPr>
              <w:t>afgeschreven</w:t>
            </w:r>
          </w:p>
        </w:tc>
      </w:tr>
      <w:tr w:rsidR="00CD3EC2" w14:paraId="66CB85F1" w14:textId="45C930F9" w:rsidTr="00CD3EC2">
        <w:tc>
          <w:tcPr>
            <w:tcW w:w="2393" w:type="dxa"/>
          </w:tcPr>
          <w:p w14:paraId="236EAA28" w14:textId="0DAF2A83" w:rsidR="00CD3EC2" w:rsidRDefault="00CD3EC2" w:rsidP="000B35BE">
            <w:pPr>
              <w:rPr>
                <w:lang w:val="nl-NL"/>
              </w:rPr>
            </w:pPr>
            <w:r>
              <w:rPr>
                <w:rFonts w:eastAsia="Calibri" w:cs="Arial"/>
                <w:lang w:val="nl-NL"/>
              </w:rPr>
              <w:t>Contributie</w:t>
            </w:r>
          </w:p>
        </w:tc>
        <w:tc>
          <w:tcPr>
            <w:tcW w:w="2289" w:type="dxa"/>
          </w:tcPr>
          <w:p w14:paraId="67827C3F" w14:textId="4530FECD" w:rsidR="00CD3EC2" w:rsidRDefault="002875D8" w:rsidP="000B35BE">
            <w:pPr>
              <w:rPr>
                <w:lang w:val="nl-NL"/>
              </w:rPr>
            </w:pPr>
            <w:r>
              <w:rPr>
                <w:rFonts w:eastAsia="Calibri" w:cs="Arial"/>
                <w:lang w:val="nl-NL"/>
              </w:rPr>
              <w:t>~</w:t>
            </w:r>
            <w:r w:rsidR="00CD3EC2">
              <w:rPr>
                <w:rFonts w:eastAsia="Calibri" w:cs="Arial"/>
                <w:lang w:val="nl-NL"/>
              </w:rPr>
              <w:t>2000</w:t>
            </w:r>
          </w:p>
        </w:tc>
        <w:tc>
          <w:tcPr>
            <w:tcW w:w="2341" w:type="dxa"/>
          </w:tcPr>
          <w:p w14:paraId="13E5742D" w14:textId="77BA5EE6" w:rsidR="00CD3EC2" w:rsidRDefault="00CD3EC2" w:rsidP="000B35BE">
            <w:pPr>
              <w:rPr>
                <w:lang w:val="nl-NL"/>
              </w:rPr>
            </w:pPr>
            <w:r>
              <w:rPr>
                <w:rFonts w:eastAsia="Calibri" w:cs="Arial"/>
                <w:lang w:val="nl-NL"/>
              </w:rPr>
              <w:t>1057</w:t>
            </w:r>
          </w:p>
        </w:tc>
        <w:tc>
          <w:tcPr>
            <w:tcW w:w="2341" w:type="dxa"/>
          </w:tcPr>
          <w:p w14:paraId="52689A5F" w14:textId="719ADA4B" w:rsidR="00CD3EC2" w:rsidRDefault="002875D8" w:rsidP="000B35BE">
            <w:pPr>
              <w:rPr>
                <w:rFonts w:eastAsia="Calibri" w:cs="Arial"/>
                <w:lang w:val="nl-NL"/>
              </w:rPr>
            </w:pPr>
            <w:r>
              <w:rPr>
                <w:rFonts w:eastAsia="Calibri" w:cs="Arial"/>
                <w:lang w:val="nl-NL"/>
              </w:rPr>
              <w:t>950</w:t>
            </w:r>
          </w:p>
        </w:tc>
      </w:tr>
    </w:tbl>
    <w:p w14:paraId="45B6EBEC" w14:textId="146C7025" w:rsidR="00B338A6" w:rsidRDefault="00B338A6" w:rsidP="00B338A6">
      <w:pPr>
        <w:rPr>
          <w:lang w:val="nl-NL"/>
        </w:rPr>
      </w:pPr>
    </w:p>
    <w:p w14:paraId="0BFC210F" w14:textId="5AFD9FAF" w:rsidR="00B338A6" w:rsidRDefault="00B338A6" w:rsidP="00B338A6">
      <w:pPr>
        <w:pStyle w:val="Kop2"/>
        <w:rPr>
          <w:lang w:val="nl-NL"/>
        </w:rPr>
      </w:pPr>
      <w:r>
        <w:rPr>
          <w:lang w:val="nl-NL"/>
        </w:rPr>
        <w:t>Kampen</w:t>
      </w:r>
    </w:p>
    <w:p w14:paraId="7C6283AB" w14:textId="51410B13" w:rsidR="006F53C1" w:rsidRPr="006F53C1" w:rsidRDefault="006F53C1" w:rsidP="006F53C1">
      <w:pPr>
        <w:rPr>
          <w:lang w:val="nl-NL"/>
        </w:rPr>
      </w:pPr>
      <w:r>
        <w:rPr>
          <w:lang w:val="nl-NL"/>
        </w:rPr>
        <w:t>In 2024 gingen we naar zweden en Svenska was een groot succes. Financieel gezien deden ze het ook aardig. Tijdens het maken van de begroting in het jaar ervoor hadden ze te veel uitgaven verwacht. De Zweedse kroon was wat lager in februari en er was iets te veel geboekt voor onverwachte uitgaves. Er was voor gekozen om €90 terug te betalen aan elke deelnemer en er werd toch kamptaks geheft (€850) om overige potjes van de JWG weer bij te vullen. Svenska eindigde met €270 winst</w:t>
      </w:r>
    </w:p>
    <w:p w14:paraId="3D21894E" w14:textId="78FAE8AC" w:rsidR="002177B8" w:rsidRDefault="00B810F9" w:rsidP="00B338A6">
      <w:pPr>
        <w:rPr>
          <w:lang w:val="nl-NL"/>
        </w:rPr>
      </w:pPr>
      <w:r>
        <w:rPr>
          <w:lang w:val="nl-NL"/>
        </w:rPr>
        <w:t xml:space="preserve">Paka had dit jaar </w:t>
      </w:r>
      <w:r w:rsidR="006F53C1">
        <w:rPr>
          <w:lang w:val="nl-NL"/>
        </w:rPr>
        <w:t>een hoog deelnemersaantal en daardoor ook een flinke winst van 670,44 euro en zorgde voor 393,75 euro aan kamptaks.</w:t>
      </w:r>
      <w:r w:rsidR="00921D43">
        <w:rPr>
          <w:lang w:val="nl-NL"/>
        </w:rPr>
        <w:br/>
      </w:r>
      <w:r w:rsidR="00921D43">
        <w:rPr>
          <w:lang w:val="nl-NL"/>
        </w:rPr>
        <w:br/>
        <w:t xml:space="preserve">OK had dit jaar een grote deelnemers aantal en </w:t>
      </w:r>
      <w:r w:rsidR="002177B8">
        <w:rPr>
          <w:lang w:val="nl-NL"/>
        </w:rPr>
        <w:t xml:space="preserve">hierdoor ook een hogere inkomsten dan verwacht. OK heeft een winst gemaakt van </w:t>
      </w:r>
      <w:r w:rsidR="006F53C1">
        <w:rPr>
          <w:lang w:val="nl-NL"/>
        </w:rPr>
        <w:t>874</w:t>
      </w:r>
      <w:r w:rsidR="002177B8">
        <w:rPr>
          <w:lang w:val="nl-NL"/>
        </w:rPr>
        <w:t xml:space="preserve"> euro en heeft </w:t>
      </w:r>
      <w:r w:rsidR="006F53C1">
        <w:rPr>
          <w:lang w:val="nl-NL"/>
        </w:rPr>
        <w:t>1528</w:t>
      </w:r>
      <w:r w:rsidR="002177B8">
        <w:rPr>
          <w:lang w:val="nl-NL"/>
        </w:rPr>
        <w:t xml:space="preserve"> euro aan kamptaks binnengehaald</w:t>
      </w:r>
    </w:p>
    <w:p w14:paraId="344F835B" w14:textId="63720E97" w:rsidR="002177B8" w:rsidRDefault="002177B8" w:rsidP="00B338A6">
      <w:pPr>
        <w:rPr>
          <w:lang w:val="nl-NL"/>
        </w:rPr>
      </w:pPr>
      <w:r>
        <w:rPr>
          <w:lang w:val="nl-NL"/>
        </w:rPr>
        <w:t xml:space="preserve">Joka </w:t>
      </w:r>
      <w:r w:rsidR="003B7268">
        <w:rPr>
          <w:lang w:val="nl-NL"/>
        </w:rPr>
        <w:t xml:space="preserve">was een beetje krap met deelnemers maar kreeg toch nog genoeg voor een succesvol kamp. Financieel gezien deden ze het ook prima en hadden ze een winst van rond de 72 euro. Hier zijn we </w:t>
      </w:r>
      <w:r w:rsidR="003B7268">
        <w:rPr>
          <w:lang w:val="nl-NL"/>
        </w:rPr>
        <w:lastRenderedPageBreak/>
        <w:t>heel blij mee natuurlijk want we willen niet al te grote winsten draaien met kampen. Joka zorgde voor €690 aan kamptaks</w:t>
      </w:r>
    </w:p>
    <w:p w14:paraId="15ED4EF3" w14:textId="2AA43E3C" w:rsidR="00B338A6" w:rsidRDefault="002177B8" w:rsidP="00B338A6">
      <w:pPr>
        <w:rPr>
          <w:lang w:val="nl-NL"/>
        </w:rPr>
      </w:pPr>
      <w:r>
        <w:rPr>
          <w:lang w:val="nl-NL"/>
        </w:rPr>
        <w:t xml:space="preserve">Wika </w:t>
      </w:r>
      <w:r w:rsidR="003B7268">
        <w:rPr>
          <w:lang w:val="nl-NL"/>
        </w:rPr>
        <w:t>2024 had net iets minder aanmeldingen dan vorig jaar, maar zaten wel haast vol. Door de hoge winsten was het door de kampgroep goedgekeurd dat twee deelnemers die hadden afgezegd een deel van het geld te retourneren, ondanks dat het na de juiste termijn was. Dit zorgde alsnog voor een hoge winst van 690 euro en 396 euro aan kamptaks</w:t>
      </w:r>
      <w:r w:rsidR="00921D43">
        <w:rPr>
          <w:lang w:val="nl-NL"/>
        </w:rPr>
        <w:br/>
      </w:r>
    </w:p>
    <w:p w14:paraId="63F510BD" w14:textId="4D3E9C7C" w:rsidR="00B338A6" w:rsidRDefault="00B338A6" w:rsidP="00B338A6">
      <w:pPr>
        <w:pStyle w:val="Kop2"/>
        <w:rPr>
          <w:lang w:val="nl-NL"/>
        </w:rPr>
      </w:pPr>
      <w:r>
        <w:rPr>
          <w:lang w:val="nl-NL"/>
        </w:rPr>
        <w:t>Afdelingen</w:t>
      </w:r>
    </w:p>
    <w:p w14:paraId="62621239" w14:textId="2E31A38F" w:rsidR="002177B8" w:rsidRPr="002177B8" w:rsidRDefault="002177B8" w:rsidP="002177B8">
      <w:pPr>
        <w:rPr>
          <w:lang w:val="nl-NL"/>
        </w:rPr>
      </w:pPr>
      <w:r>
        <w:rPr>
          <w:lang w:val="nl-NL"/>
        </w:rPr>
        <w:t>Dit jaar hadden we vier afdelingen die gedraaid hebben.</w:t>
      </w:r>
      <w:r>
        <w:rPr>
          <w:lang w:val="nl-NL"/>
        </w:rPr>
        <w:br/>
      </w:r>
      <w:r w:rsidR="003B7268">
        <w:rPr>
          <w:lang w:val="nl-NL"/>
        </w:rPr>
        <w:t>Voor Cyberspace hebben wij natuurlijk het zoomaccount betaald en de rest van de kosten zaten in het sprekerscadeaux.</w:t>
      </w:r>
      <w:r w:rsidR="003B7268">
        <w:rPr>
          <w:lang w:val="nl-NL"/>
        </w:rPr>
        <w:br/>
        <w:t>Leiden heeft een succesvol jaar gedraaid samen met het organiseren van verwonder om de hoek. Ze hadden ook een hoger budget om leuke dingen mee te doen vanwege de inkomsten van verwonder om de hoek. Ze hebben echter niet alles opgemaakt dus het geld op hun rekening gaat gebruikt worden voor het budget van 2025</w:t>
      </w:r>
      <w:r w:rsidR="003B7268">
        <w:rPr>
          <w:lang w:val="nl-NL"/>
        </w:rPr>
        <w:br/>
        <w:t>Utrecht liep goed zoals normaal en er zijn geen opmerkingen voor deze afdeling.</w:t>
      </w:r>
      <w:r w:rsidR="003B7268">
        <w:rPr>
          <w:lang w:val="nl-NL"/>
        </w:rPr>
        <w:br/>
        <w:t>Amsterdam liep een beetje stroef met het zoeken naar een nieuwe penningmeester en de declaraties van de afdeling werden door twee vrijwilligers afgehandeld in plaats van 1 penningmeester. Amsterdam heeft uiteindelijk toch een nieuwe penningmeester gevonden voor 2025 en ik ga hen hier nog goed in begeleiden.</w:t>
      </w:r>
    </w:p>
    <w:p w14:paraId="29081AD4" w14:textId="158DBBDC" w:rsidR="00B338A6" w:rsidRDefault="00B338A6" w:rsidP="00B338A6">
      <w:pPr>
        <w:pStyle w:val="Kop2"/>
        <w:rPr>
          <w:lang w:val="nl-NL"/>
        </w:rPr>
      </w:pPr>
      <w:r>
        <w:rPr>
          <w:lang w:val="nl-NL"/>
        </w:rPr>
        <w:t>Reserveringen</w:t>
      </w:r>
    </w:p>
    <w:p w14:paraId="258CCF52" w14:textId="1EC87995" w:rsidR="002177B8" w:rsidRPr="002177B8" w:rsidRDefault="002177B8" w:rsidP="002177B8">
      <w:pPr>
        <w:rPr>
          <w:lang w:val="nl-NL"/>
        </w:rPr>
      </w:pPr>
      <w:r>
        <w:rPr>
          <w:lang w:val="nl-NL"/>
        </w:rPr>
        <w:t>De reserveringen zijn allemaal volgens de begroting aangevuld.</w:t>
      </w:r>
      <w:r>
        <w:rPr>
          <w:lang w:val="nl-NL"/>
        </w:rPr>
        <w:br/>
        <w:t>Hier onder staan de reserveringen met de huidige standen.</w:t>
      </w:r>
    </w:p>
    <w:tbl>
      <w:tblPr>
        <w:tblStyle w:val="Rastertabel5donker-Accent5"/>
        <w:tblW w:w="9062" w:type="dxa"/>
        <w:shd w:val="clear" w:color="auto" w:fill="DEEAF6"/>
        <w:tblLayout w:type="fixed"/>
        <w:tblLook w:val="04A0" w:firstRow="1" w:lastRow="0" w:firstColumn="1" w:lastColumn="0" w:noHBand="0" w:noVBand="1"/>
      </w:tblPr>
      <w:tblGrid>
        <w:gridCol w:w="1766"/>
        <w:gridCol w:w="1139"/>
        <w:gridCol w:w="1115"/>
        <w:gridCol w:w="1374"/>
        <w:gridCol w:w="3668"/>
      </w:tblGrid>
      <w:tr w:rsidR="00B338A6" w14:paraId="48AD09B7" w14:textId="77777777" w:rsidTr="000B35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Pr>
          <w:p w14:paraId="3834624A" w14:textId="77777777" w:rsidR="00B338A6" w:rsidRDefault="00B338A6" w:rsidP="000B35BE">
            <w:pPr>
              <w:rPr>
                <w:lang w:val="nl-NL"/>
              </w:rPr>
            </w:pPr>
            <w:r>
              <w:rPr>
                <w:rFonts w:eastAsia="Calibri" w:cs="Arial"/>
                <w:color w:val="FFFFFF"/>
                <w:lang w:val="nl-NL"/>
              </w:rPr>
              <w:t>Reservering</w:t>
            </w:r>
          </w:p>
        </w:tc>
        <w:tc>
          <w:tcPr>
            <w:tcW w:w="1139" w:type="dxa"/>
            <w:tcBorders>
              <w:bottom w:val="nil"/>
            </w:tcBorders>
          </w:tcPr>
          <w:p w14:paraId="4CAB7392" w14:textId="77777777" w:rsidR="00B338A6" w:rsidRDefault="00B338A6" w:rsidP="000B35BE">
            <w:pPr>
              <w:cnfStyle w:val="100000000000" w:firstRow="1" w:lastRow="0" w:firstColumn="0" w:lastColumn="0" w:oddVBand="0" w:evenVBand="0" w:oddHBand="0" w:evenHBand="0" w:firstRowFirstColumn="0" w:firstRowLastColumn="0" w:lastRowFirstColumn="0" w:lastRowLastColumn="0"/>
              <w:rPr>
                <w:lang w:val="nl-NL"/>
              </w:rPr>
            </w:pPr>
            <w:r>
              <w:rPr>
                <w:rFonts w:eastAsia="Calibri" w:cs="Arial"/>
                <w:color w:val="FFFFFF"/>
                <w:lang w:val="nl-NL"/>
              </w:rPr>
              <w:t>Huidig bedrag</w:t>
            </w:r>
          </w:p>
        </w:tc>
        <w:tc>
          <w:tcPr>
            <w:tcW w:w="1115" w:type="dxa"/>
            <w:tcBorders>
              <w:bottom w:val="nil"/>
            </w:tcBorders>
          </w:tcPr>
          <w:p w14:paraId="687D74D7" w14:textId="77777777" w:rsidR="00B338A6" w:rsidRDefault="00B338A6" w:rsidP="000B35BE">
            <w:pPr>
              <w:cnfStyle w:val="100000000000" w:firstRow="1" w:lastRow="0" w:firstColumn="0" w:lastColumn="0" w:oddVBand="0" w:evenVBand="0" w:oddHBand="0" w:evenHBand="0" w:firstRowFirstColumn="0" w:firstRowLastColumn="0" w:lastRowFirstColumn="0" w:lastRowLastColumn="0"/>
              <w:rPr>
                <w:lang w:val="nl-NL"/>
              </w:rPr>
            </w:pPr>
            <w:r>
              <w:rPr>
                <w:rFonts w:eastAsia="Calibri" w:cs="Arial"/>
                <w:color w:val="FFFFFF"/>
                <w:lang w:val="nl-NL"/>
              </w:rPr>
              <w:t>Voorstel Begroting</w:t>
            </w:r>
          </w:p>
        </w:tc>
        <w:tc>
          <w:tcPr>
            <w:tcW w:w="1374" w:type="dxa"/>
            <w:tcBorders>
              <w:bottom w:val="nil"/>
            </w:tcBorders>
          </w:tcPr>
          <w:p w14:paraId="2FF83CEA" w14:textId="77777777" w:rsidR="00B338A6" w:rsidRDefault="00B338A6" w:rsidP="000B35BE">
            <w:pPr>
              <w:cnfStyle w:val="100000000000" w:firstRow="1" w:lastRow="0" w:firstColumn="0" w:lastColumn="0" w:oddVBand="0" w:evenVBand="0" w:oddHBand="0" w:evenHBand="0" w:firstRowFirstColumn="0" w:firstRowLastColumn="0" w:lastRowFirstColumn="0" w:lastRowLastColumn="0"/>
              <w:rPr>
                <w:lang w:val="nl-NL"/>
              </w:rPr>
            </w:pPr>
            <w:r>
              <w:rPr>
                <w:rFonts w:eastAsia="Calibri" w:cs="Arial"/>
                <w:color w:val="FFFFFF"/>
                <w:lang w:val="nl-NL"/>
              </w:rPr>
              <w:t>Max bedrag</w:t>
            </w:r>
          </w:p>
        </w:tc>
        <w:tc>
          <w:tcPr>
            <w:tcW w:w="3668" w:type="dxa"/>
            <w:tcBorders>
              <w:bottom w:val="nil"/>
            </w:tcBorders>
          </w:tcPr>
          <w:p w14:paraId="6145AA8F" w14:textId="77777777" w:rsidR="00B338A6" w:rsidRDefault="00B338A6" w:rsidP="000B35BE">
            <w:pPr>
              <w:cnfStyle w:val="100000000000" w:firstRow="1" w:lastRow="0" w:firstColumn="0" w:lastColumn="0" w:oddVBand="0" w:evenVBand="0" w:oddHBand="0" w:evenHBand="0" w:firstRowFirstColumn="0" w:firstRowLastColumn="0" w:lastRowFirstColumn="0" w:lastRowLastColumn="0"/>
              <w:rPr>
                <w:lang w:val="nl-NL"/>
              </w:rPr>
            </w:pPr>
            <w:r>
              <w:rPr>
                <w:rFonts w:eastAsia="Calibri" w:cs="Arial"/>
                <w:color w:val="FFFFFF"/>
                <w:lang w:val="nl-NL"/>
              </w:rPr>
              <w:t>Uitleg</w:t>
            </w:r>
          </w:p>
        </w:tc>
      </w:tr>
      <w:tr w:rsidR="00B338A6" w:rsidRPr="00CD3EC2" w14:paraId="5DD3A694" w14:textId="77777777" w:rsidTr="000B3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315A7C2F" w14:textId="77777777" w:rsidR="00B338A6" w:rsidRDefault="00B338A6" w:rsidP="000B35BE">
            <w:pPr>
              <w:rPr>
                <w:lang w:val="nl-NL"/>
              </w:rPr>
            </w:pPr>
            <w:r>
              <w:rPr>
                <w:rFonts w:eastAsia="Calibri" w:cs="Arial"/>
                <w:color w:val="FFFFFF"/>
                <w:lang w:val="nl-NL"/>
              </w:rPr>
              <w:t>Afdelingen</w:t>
            </w:r>
          </w:p>
        </w:tc>
        <w:tc>
          <w:tcPr>
            <w:tcW w:w="1139" w:type="dxa"/>
          </w:tcPr>
          <w:p w14:paraId="775AF495"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500</w:t>
            </w:r>
          </w:p>
        </w:tc>
        <w:tc>
          <w:tcPr>
            <w:tcW w:w="1115" w:type="dxa"/>
          </w:tcPr>
          <w:p w14:paraId="7765EC57"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0</w:t>
            </w:r>
          </w:p>
        </w:tc>
        <w:tc>
          <w:tcPr>
            <w:tcW w:w="1374" w:type="dxa"/>
          </w:tcPr>
          <w:p w14:paraId="1C28BB52"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500</w:t>
            </w:r>
          </w:p>
        </w:tc>
        <w:tc>
          <w:tcPr>
            <w:tcW w:w="3668" w:type="dxa"/>
          </w:tcPr>
          <w:p w14:paraId="61A6FA0D"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Hoeft niet aangevuld te worden tenzij ze aangesproken worden.</w:t>
            </w:r>
          </w:p>
        </w:tc>
      </w:tr>
      <w:tr w:rsidR="00B338A6" w14:paraId="47153EBA" w14:textId="77777777" w:rsidTr="000B35BE">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1BAA5E26" w14:textId="77777777" w:rsidR="00B338A6" w:rsidRDefault="00B338A6" w:rsidP="000B35BE">
            <w:pPr>
              <w:rPr>
                <w:lang w:val="nl-NL"/>
              </w:rPr>
            </w:pPr>
            <w:r>
              <w:rPr>
                <w:rFonts w:eastAsia="Calibri" w:cs="Arial"/>
                <w:color w:val="FFFFFF"/>
                <w:lang w:val="nl-NL"/>
              </w:rPr>
              <w:t>Kamp Annulerings reservering</w:t>
            </w:r>
          </w:p>
        </w:tc>
        <w:tc>
          <w:tcPr>
            <w:tcW w:w="1139" w:type="dxa"/>
          </w:tcPr>
          <w:p w14:paraId="71EA9E3C" w14:textId="07EC02A9" w:rsidR="00B338A6" w:rsidRDefault="003B7268"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8751.13</w:t>
            </w:r>
          </w:p>
        </w:tc>
        <w:tc>
          <w:tcPr>
            <w:tcW w:w="1115" w:type="dxa"/>
          </w:tcPr>
          <w:p w14:paraId="50C55A1C" w14:textId="53E95AFD" w:rsidR="00B338A6" w:rsidRDefault="002177B8"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250</w:t>
            </w:r>
            <w:r>
              <w:rPr>
                <w:rFonts w:eastAsia="Calibri" w:cs="Arial"/>
                <w:lang w:val="nl-NL"/>
              </w:rPr>
              <w:br/>
              <w:t>(500 als winst)</w:t>
            </w:r>
            <w:r w:rsidR="00B338A6">
              <w:rPr>
                <w:rFonts w:eastAsia="Calibri" w:cs="Arial"/>
                <w:lang w:val="nl-NL"/>
              </w:rPr>
              <w:br/>
              <w:t>tot max</w:t>
            </w:r>
            <w:r w:rsidR="00B338A6">
              <w:rPr>
                <w:rFonts w:eastAsia="Calibri" w:cs="Arial"/>
                <w:lang w:val="nl-NL"/>
              </w:rPr>
              <w:br/>
              <w:t>8500</w:t>
            </w:r>
          </w:p>
        </w:tc>
        <w:tc>
          <w:tcPr>
            <w:tcW w:w="1374" w:type="dxa"/>
          </w:tcPr>
          <w:p w14:paraId="3E1EB6D1"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8500</w:t>
            </w:r>
          </w:p>
        </w:tc>
        <w:tc>
          <w:tcPr>
            <w:tcW w:w="3668" w:type="dxa"/>
          </w:tcPr>
          <w:p w14:paraId="3B58572D"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Als een kamp niet doorgaat worden de boerderij kosten hieruit opgenomen. Richtlijn: max 1 jaar geen kamp kunnen betalen.</w:t>
            </w:r>
          </w:p>
        </w:tc>
      </w:tr>
      <w:tr w:rsidR="00B338A6" w14:paraId="38E79FB8" w14:textId="77777777" w:rsidTr="000B3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15143632" w14:textId="77777777" w:rsidR="00B338A6" w:rsidRDefault="00B338A6" w:rsidP="000B35BE">
            <w:pPr>
              <w:rPr>
                <w:lang w:val="nl-NL"/>
              </w:rPr>
            </w:pPr>
            <w:r>
              <w:rPr>
                <w:rFonts w:eastAsia="Calibri" w:cs="Arial"/>
                <w:color w:val="FFFFFF"/>
                <w:lang w:val="nl-NL"/>
              </w:rPr>
              <w:t>Bijzonderen activiteiten</w:t>
            </w:r>
          </w:p>
        </w:tc>
        <w:tc>
          <w:tcPr>
            <w:tcW w:w="1139" w:type="dxa"/>
          </w:tcPr>
          <w:p w14:paraId="436FE0B9"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3000</w:t>
            </w:r>
          </w:p>
        </w:tc>
        <w:tc>
          <w:tcPr>
            <w:tcW w:w="1115" w:type="dxa"/>
          </w:tcPr>
          <w:p w14:paraId="360CFAC4"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300</w:t>
            </w:r>
          </w:p>
        </w:tc>
        <w:tc>
          <w:tcPr>
            <w:tcW w:w="1374" w:type="dxa"/>
          </w:tcPr>
          <w:p w14:paraId="2AFCF7B6"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3000</w:t>
            </w:r>
          </w:p>
        </w:tc>
        <w:tc>
          <w:tcPr>
            <w:tcW w:w="3668" w:type="dxa"/>
          </w:tcPr>
          <w:p w14:paraId="45B7D809"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€3000 behouden als max.</w:t>
            </w:r>
          </w:p>
        </w:tc>
      </w:tr>
      <w:tr w:rsidR="00B338A6" w:rsidRPr="00CD3EC2" w14:paraId="16B366A8" w14:textId="77777777" w:rsidTr="000B35BE">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28E73681" w14:textId="77777777" w:rsidR="00B338A6" w:rsidRDefault="00B338A6" w:rsidP="000B35BE">
            <w:pPr>
              <w:rPr>
                <w:lang w:val="nl-NL"/>
              </w:rPr>
            </w:pPr>
            <w:r>
              <w:rPr>
                <w:rFonts w:eastAsia="Calibri" w:cs="Arial"/>
                <w:color w:val="FFFFFF"/>
                <w:lang w:val="nl-NL"/>
              </w:rPr>
              <w:t>Computer</w:t>
            </w:r>
          </w:p>
        </w:tc>
        <w:tc>
          <w:tcPr>
            <w:tcW w:w="1139" w:type="dxa"/>
          </w:tcPr>
          <w:p w14:paraId="4922B27A" w14:textId="198EFBD4" w:rsidR="00B338A6" w:rsidRDefault="003B7268"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3084.61</w:t>
            </w:r>
          </w:p>
        </w:tc>
        <w:tc>
          <w:tcPr>
            <w:tcW w:w="1115" w:type="dxa"/>
          </w:tcPr>
          <w:p w14:paraId="5325D453" w14:textId="5EA2BD4D" w:rsidR="00B338A6" w:rsidRDefault="003B7268"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125</w:t>
            </w:r>
          </w:p>
        </w:tc>
        <w:tc>
          <w:tcPr>
            <w:tcW w:w="1374" w:type="dxa"/>
          </w:tcPr>
          <w:p w14:paraId="6D4F6478"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3000</w:t>
            </w:r>
          </w:p>
        </w:tc>
        <w:tc>
          <w:tcPr>
            <w:tcW w:w="3668" w:type="dxa"/>
          </w:tcPr>
          <w:p w14:paraId="19CE3426"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Dit is voor beamers, LBM computer/laptop en mogelijke adapters. Het huidige maximum €3000. €250 aanvulling per jaar als het aangesproken wordt.</w:t>
            </w:r>
          </w:p>
        </w:tc>
      </w:tr>
      <w:tr w:rsidR="00B338A6" w:rsidRPr="00CD3EC2" w14:paraId="6AA0A6EA" w14:textId="77777777" w:rsidTr="000B3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7B75EE21" w14:textId="77777777" w:rsidR="00B338A6" w:rsidRDefault="00B338A6" w:rsidP="000B35BE">
            <w:pPr>
              <w:rPr>
                <w:lang w:val="nl-NL"/>
              </w:rPr>
            </w:pPr>
            <w:r>
              <w:rPr>
                <w:rFonts w:eastAsia="Calibri" w:cs="Arial"/>
                <w:color w:val="FFFFFF"/>
                <w:lang w:val="nl-NL"/>
              </w:rPr>
              <w:t>Drukwerk</w:t>
            </w:r>
          </w:p>
        </w:tc>
        <w:tc>
          <w:tcPr>
            <w:tcW w:w="1139" w:type="dxa"/>
          </w:tcPr>
          <w:p w14:paraId="763D638B" w14:textId="34C420CF" w:rsidR="00B338A6" w:rsidRDefault="003B7268"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334.84</w:t>
            </w:r>
          </w:p>
        </w:tc>
        <w:tc>
          <w:tcPr>
            <w:tcW w:w="1115" w:type="dxa"/>
          </w:tcPr>
          <w:p w14:paraId="2C20B991" w14:textId="5A2D7CE0"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300</w:t>
            </w:r>
          </w:p>
        </w:tc>
        <w:tc>
          <w:tcPr>
            <w:tcW w:w="1374" w:type="dxa"/>
          </w:tcPr>
          <w:p w14:paraId="7E7BC311"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1500</w:t>
            </w:r>
          </w:p>
        </w:tc>
        <w:tc>
          <w:tcPr>
            <w:tcW w:w="3668" w:type="dxa"/>
          </w:tcPr>
          <w:p w14:paraId="6CF769BF"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Speciaal drukwerk. Max 1500. Tot 300 per jaar als het aangevuld moet worden.</w:t>
            </w:r>
          </w:p>
        </w:tc>
      </w:tr>
      <w:tr w:rsidR="00B338A6" w:rsidRPr="00CD3EC2" w14:paraId="1000F0BD" w14:textId="77777777" w:rsidTr="000B35BE">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303059D1" w14:textId="77777777" w:rsidR="00B338A6" w:rsidRDefault="00B338A6" w:rsidP="000B35BE">
            <w:pPr>
              <w:rPr>
                <w:lang w:val="nl-NL"/>
              </w:rPr>
            </w:pPr>
            <w:r>
              <w:rPr>
                <w:rFonts w:eastAsia="Calibri" w:cs="Arial"/>
                <w:color w:val="FFFFFF"/>
                <w:lang w:val="nl-NL"/>
              </w:rPr>
              <w:t>Huurverhoging</w:t>
            </w:r>
          </w:p>
        </w:tc>
        <w:tc>
          <w:tcPr>
            <w:tcW w:w="1139" w:type="dxa"/>
          </w:tcPr>
          <w:p w14:paraId="49F2759A"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900</w:t>
            </w:r>
          </w:p>
        </w:tc>
        <w:tc>
          <w:tcPr>
            <w:tcW w:w="1115" w:type="dxa"/>
          </w:tcPr>
          <w:p w14:paraId="75966424"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100</w:t>
            </w:r>
          </w:p>
        </w:tc>
        <w:tc>
          <w:tcPr>
            <w:tcW w:w="1374" w:type="dxa"/>
          </w:tcPr>
          <w:p w14:paraId="258CB90F"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900</w:t>
            </w:r>
          </w:p>
        </w:tc>
        <w:tc>
          <w:tcPr>
            <w:tcW w:w="3668" w:type="dxa"/>
          </w:tcPr>
          <w:p w14:paraId="22A43138"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Hoeft niet aangevuld te worden tenzij het aangesproken wordt.</w:t>
            </w:r>
          </w:p>
        </w:tc>
      </w:tr>
      <w:tr w:rsidR="00B338A6" w:rsidRPr="00CD3EC2" w14:paraId="20D15950" w14:textId="77777777" w:rsidTr="000B3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0F202967" w14:textId="77777777" w:rsidR="00B338A6" w:rsidRDefault="00B338A6" w:rsidP="000B35BE">
            <w:pPr>
              <w:rPr>
                <w:lang w:val="nl-NL"/>
              </w:rPr>
            </w:pPr>
            <w:r>
              <w:rPr>
                <w:rFonts w:eastAsia="Calibri" w:cs="Arial"/>
                <w:color w:val="FFFFFF"/>
                <w:lang w:val="nl-NL"/>
              </w:rPr>
              <w:t>HB Beleidsweekend</w:t>
            </w:r>
          </w:p>
        </w:tc>
        <w:tc>
          <w:tcPr>
            <w:tcW w:w="1139" w:type="dxa"/>
          </w:tcPr>
          <w:p w14:paraId="5FE1045F" w14:textId="20380078" w:rsidR="00B338A6" w:rsidRDefault="003B7268"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225</w:t>
            </w:r>
            <w:r w:rsidR="002177B8">
              <w:rPr>
                <w:rFonts w:eastAsia="Calibri" w:cs="Arial"/>
                <w:lang w:val="nl-NL"/>
              </w:rPr>
              <w:t>,27</w:t>
            </w:r>
          </w:p>
        </w:tc>
        <w:tc>
          <w:tcPr>
            <w:tcW w:w="1115" w:type="dxa"/>
          </w:tcPr>
          <w:p w14:paraId="567193F1"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100</w:t>
            </w:r>
          </w:p>
        </w:tc>
        <w:tc>
          <w:tcPr>
            <w:tcW w:w="1374" w:type="dxa"/>
          </w:tcPr>
          <w:p w14:paraId="5E455FD0"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300</w:t>
            </w:r>
          </w:p>
        </w:tc>
        <w:tc>
          <w:tcPr>
            <w:tcW w:w="3668" w:type="dxa"/>
          </w:tcPr>
          <w:p w14:paraId="2679918B"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Begroting weekend 300/1x per drie jaar.</w:t>
            </w:r>
          </w:p>
        </w:tc>
      </w:tr>
      <w:tr w:rsidR="00B338A6" w:rsidRPr="00CD3EC2" w14:paraId="7AF89AF9" w14:textId="77777777" w:rsidTr="000B35BE">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1A5C2769" w14:textId="77777777" w:rsidR="00B338A6" w:rsidRDefault="00B338A6" w:rsidP="000B35BE">
            <w:pPr>
              <w:rPr>
                <w:lang w:val="nl-NL"/>
              </w:rPr>
            </w:pPr>
            <w:r>
              <w:rPr>
                <w:rFonts w:eastAsia="Calibri" w:cs="Arial"/>
                <w:color w:val="FFFFFF"/>
                <w:lang w:val="nl-NL"/>
              </w:rPr>
              <w:lastRenderedPageBreak/>
              <w:t>Inboedel</w:t>
            </w:r>
          </w:p>
        </w:tc>
        <w:tc>
          <w:tcPr>
            <w:tcW w:w="1139" w:type="dxa"/>
          </w:tcPr>
          <w:p w14:paraId="5C609659"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2000</w:t>
            </w:r>
          </w:p>
        </w:tc>
        <w:tc>
          <w:tcPr>
            <w:tcW w:w="1115" w:type="dxa"/>
          </w:tcPr>
          <w:p w14:paraId="0074BECF"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100</w:t>
            </w:r>
            <w:r>
              <w:rPr>
                <w:rFonts w:eastAsia="Calibri" w:cs="Arial"/>
                <w:lang w:val="nl-NL"/>
              </w:rPr>
              <w:br/>
            </w:r>
          </w:p>
        </w:tc>
        <w:tc>
          <w:tcPr>
            <w:tcW w:w="1374" w:type="dxa"/>
          </w:tcPr>
          <w:p w14:paraId="19C8C2F3"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2000</w:t>
            </w:r>
          </w:p>
        </w:tc>
        <w:tc>
          <w:tcPr>
            <w:tcW w:w="3668" w:type="dxa"/>
          </w:tcPr>
          <w:p w14:paraId="45EB9D26"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Max €2000 om alle spullen in de opslag te kunnen vervangen als er schade is.</w:t>
            </w:r>
          </w:p>
        </w:tc>
      </w:tr>
      <w:tr w:rsidR="00B338A6" w:rsidRPr="00CD3EC2" w14:paraId="354BBBBD" w14:textId="77777777" w:rsidTr="000B3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2E5E34A6" w14:textId="77777777" w:rsidR="00B338A6" w:rsidRDefault="00B338A6" w:rsidP="000B35BE">
            <w:pPr>
              <w:rPr>
                <w:lang w:val="nl-NL"/>
              </w:rPr>
            </w:pPr>
            <w:r>
              <w:rPr>
                <w:rFonts w:eastAsia="Calibri" w:cs="Arial"/>
                <w:color w:val="FFFFFF"/>
                <w:lang w:val="nl-NL"/>
              </w:rPr>
              <w:t>Activiteiten annulerings</w:t>
            </w:r>
          </w:p>
        </w:tc>
        <w:tc>
          <w:tcPr>
            <w:tcW w:w="1139" w:type="dxa"/>
          </w:tcPr>
          <w:p w14:paraId="6F16973F"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1200</w:t>
            </w:r>
          </w:p>
        </w:tc>
        <w:tc>
          <w:tcPr>
            <w:tcW w:w="1115" w:type="dxa"/>
          </w:tcPr>
          <w:p w14:paraId="50B54F03"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100</w:t>
            </w:r>
            <w:r>
              <w:rPr>
                <w:rFonts w:eastAsia="Calibri" w:cs="Arial"/>
                <w:lang w:val="nl-NL"/>
              </w:rPr>
              <w:br/>
            </w:r>
          </w:p>
        </w:tc>
        <w:tc>
          <w:tcPr>
            <w:tcW w:w="1374" w:type="dxa"/>
          </w:tcPr>
          <w:p w14:paraId="56A4FB22"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500</w:t>
            </w:r>
          </w:p>
        </w:tc>
        <w:tc>
          <w:tcPr>
            <w:tcW w:w="3668" w:type="dxa"/>
          </w:tcPr>
          <w:p w14:paraId="1243276A"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Dit potje is bedoeld voor als bepaalde activiteiten om bepaalde reden geannuleerd moeten worden maar de locatie wel al betaald is.</w:t>
            </w:r>
          </w:p>
        </w:tc>
      </w:tr>
      <w:tr w:rsidR="00B338A6" w:rsidRPr="00CD3EC2" w14:paraId="5845160B" w14:textId="77777777" w:rsidTr="000B35BE">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356E1E46" w14:textId="77777777" w:rsidR="00B338A6" w:rsidRDefault="00B338A6" w:rsidP="000B35BE">
            <w:pPr>
              <w:rPr>
                <w:lang w:val="nl-NL"/>
              </w:rPr>
            </w:pPr>
            <w:r>
              <w:rPr>
                <w:rFonts w:eastAsia="Calibri" w:cs="Arial"/>
                <w:color w:val="FFFFFF"/>
                <w:lang w:val="nl-NL"/>
              </w:rPr>
              <w:t>Waarneem materiaal</w:t>
            </w:r>
          </w:p>
        </w:tc>
        <w:tc>
          <w:tcPr>
            <w:tcW w:w="1139" w:type="dxa"/>
          </w:tcPr>
          <w:p w14:paraId="5C8C2A63" w14:textId="37F27C33" w:rsidR="00B338A6" w:rsidRDefault="003B7268"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4010.21</w:t>
            </w:r>
          </w:p>
        </w:tc>
        <w:tc>
          <w:tcPr>
            <w:tcW w:w="1115" w:type="dxa"/>
          </w:tcPr>
          <w:p w14:paraId="0842F255"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500</w:t>
            </w:r>
          </w:p>
        </w:tc>
        <w:tc>
          <w:tcPr>
            <w:tcW w:w="1374" w:type="dxa"/>
          </w:tcPr>
          <w:p w14:paraId="0B575C9B"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6000</w:t>
            </w:r>
          </w:p>
        </w:tc>
        <w:tc>
          <w:tcPr>
            <w:tcW w:w="3668" w:type="dxa"/>
          </w:tcPr>
          <w:p w14:paraId="318862DA"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Maximum van €6000. Dit bedrag kan gebruikt worden voor aankoop van nieuwe telescopen en onderdelen.</w:t>
            </w:r>
          </w:p>
        </w:tc>
      </w:tr>
      <w:tr w:rsidR="00B338A6" w:rsidRPr="00CD3EC2" w14:paraId="11099DCC" w14:textId="77777777" w:rsidTr="000B3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6D6B7D75" w14:textId="77777777" w:rsidR="00B338A6" w:rsidRDefault="00B338A6" w:rsidP="000B35BE">
            <w:pPr>
              <w:rPr>
                <w:lang w:val="nl-NL"/>
              </w:rPr>
            </w:pPr>
            <w:r>
              <w:rPr>
                <w:rFonts w:eastAsia="Calibri" w:cs="Arial"/>
                <w:color w:val="FFFFFF"/>
                <w:lang w:val="nl-NL"/>
              </w:rPr>
              <w:t>Duurzame aanschaf Kampgroep</w:t>
            </w:r>
          </w:p>
        </w:tc>
        <w:tc>
          <w:tcPr>
            <w:tcW w:w="1139" w:type="dxa"/>
          </w:tcPr>
          <w:p w14:paraId="4FB8ED0F" w14:textId="703998D7" w:rsidR="00B338A6" w:rsidRDefault="003B7268"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84.08</w:t>
            </w:r>
          </w:p>
        </w:tc>
        <w:tc>
          <w:tcPr>
            <w:tcW w:w="1115" w:type="dxa"/>
          </w:tcPr>
          <w:p w14:paraId="046B4686"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150</w:t>
            </w:r>
          </w:p>
        </w:tc>
        <w:tc>
          <w:tcPr>
            <w:tcW w:w="1374" w:type="dxa"/>
          </w:tcPr>
          <w:p w14:paraId="227D2FA4"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450</w:t>
            </w:r>
          </w:p>
        </w:tc>
        <w:tc>
          <w:tcPr>
            <w:tcW w:w="3668" w:type="dxa"/>
          </w:tcPr>
          <w:p w14:paraId="37995975"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 xml:space="preserve">Dit is voor duurzame aanschaf voor op kampen. Maximum van €450 en wordt elk jaar met tot €150 aangevuld. </w:t>
            </w:r>
          </w:p>
        </w:tc>
      </w:tr>
      <w:tr w:rsidR="00B338A6" w14:paraId="2C43F378" w14:textId="77777777" w:rsidTr="000B35BE">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38F748BE" w14:textId="77777777" w:rsidR="00B338A6" w:rsidRDefault="00B338A6" w:rsidP="000B35BE">
            <w:pPr>
              <w:rPr>
                <w:lang w:val="nl-NL"/>
              </w:rPr>
            </w:pPr>
            <w:r>
              <w:rPr>
                <w:rFonts w:eastAsia="Calibri" w:cs="Arial"/>
                <w:color w:val="FFFFFF"/>
                <w:lang w:val="nl-NL"/>
              </w:rPr>
              <w:t>Bert van Sprang Fonds</w:t>
            </w:r>
          </w:p>
        </w:tc>
        <w:tc>
          <w:tcPr>
            <w:tcW w:w="1139" w:type="dxa"/>
          </w:tcPr>
          <w:p w14:paraId="01AE6C41"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10000</w:t>
            </w:r>
          </w:p>
        </w:tc>
        <w:tc>
          <w:tcPr>
            <w:tcW w:w="1115" w:type="dxa"/>
          </w:tcPr>
          <w:p w14:paraId="1B7BBB2E"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0</w:t>
            </w:r>
          </w:p>
        </w:tc>
        <w:tc>
          <w:tcPr>
            <w:tcW w:w="1374" w:type="dxa"/>
          </w:tcPr>
          <w:p w14:paraId="74C884B7"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10000</w:t>
            </w:r>
          </w:p>
        </w:tc>
        <w:tc>
          <w:tcPr>
            <w:tcW w:w="3668" w:type="dxa"/>
          </w:tcPr>
          <w:p w14:paraId="4B984961"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Dit is een noodfonds, hier wordt alleen geld uit gehaald als het niet anders kan. Wordt niet bijgevuld tenzij het aangesproken wordt.</w:t>
            </w:r>
          </w:p>
        </w:tc>
      </w:tr>
    </w:tbl>
    <w:p w14:paraId="44EFA25B" w14:textId="77777777" w:rsidR="00B338A6" w:rsidRDefault="00B338A6" w:rsidP="00B338A6">
      <w:pPr>
        <w:rPr>
          <w:lang w:val="nl-NL"/>
        </w:rPr>
      </w:pPr>
    </w:p>
    <w:p w14:paraId="7224B31C" w14:textId="27CFEEBB" w:rsidR="00B338A6" w:rsidRDefault="00B338A6" w:rsidP="00B338A6">
      <w:pPr>
        <w:pStyle w:val="Kop2"/>
        <w:rPr>
          <w:lang w:val="nl-NL"/>
        </w:rPr>
      </w:pPr>
      <w:r>
        <w:rPr>
          <w:lang w:val="nl-NL"/>
        </w:rPr>
        <w:t>Debiteuren crediteuren</w:t>
      </w:r>
    </w:p>
    <w:p w14:paraId="2EB686A8" w14:textId="36F68A1C" w:rsidR="002177B8" w:rsidRPr="002177B8" w:rsidRDefault="002177B8" w:rsidP="002177B8">
      <w:pPr>
        <w:rPr>
          <w:lang w:val="nl-NL"/>
        </w:rPr>
      </w:pPr>
      <w:r>
        <w:rPr>
          <w:lang w:val="nl-NL"/>
        </w:rPr>
        <w:t>Hier onder onze lijst aan debiteuren en crediteuren zoals op 31 december 202</w:t>
      </w:r>
      <w:r w:rsidR="003B7268">
        <w:rPr>
          <w:lang w:val="nl-NL"/>
        </w:rPr>
        <w:t>4</w:t>
      </w:r>
    </w:p>
    <w:p w14:paraId="5D0D6D07" w14:textId="22454780" w:rsidR="00B338A6" w:rsidRDefault="00F6129F" w:rsidP="00B338A6">
      <w:pPr>
        <w:rPr>
          <w:lang w:val="nl-NL"/>
        </w:rPr>
      </w:pPr>
      <w:r w:rsidRPr="00F6129F">
        <w:rPr>
          <w:lang w:val="nl-NL"/>
        </w:rPr>
        <w:drawing>
          <wp:inline distT="0" distB="0" distL="0" distR="0" wp14:anchorId="56D4D117" wp14:editId="4616D71C">
            <wp:extent cx="5760720" cy="1764030"/>
            <wp:effectExtent l="0" t="0" r="0" b="7620"/>
            <wp:docPr id="542683278" name="Afbeelding 1" descr="Afbeelding met tekst, elektronica, schermopname, softwar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83278" name="Afbeelding 1" descr="Afbeelding met tekst, elektronica, schermopname, software&#10;&#10;Door AI gegenereerde inhoud is mogelijk onjuist."/>
                    <pic:cNvPicPr/>
                  </pic:nvPicPr>
                  <pic:blipFill>
                    <a:blip r:embed="rId4"/>
                    <a:stretch>
                      <a:fillRect/>
                    </a:stretch>
                  </pic:blipFill>
                  <pic:spPr>
                    <a:xfrm>
                      <a:off x="0" y="0"/>
                      <a:ext cx="5760720" cy="1764030"/>
                    </a:xfrm>
                    <a:prstGeom prst="rect">
                      <a:avLst/>
                    </a:prstGeom>
                  </pic:spPr>
                </pic:pic>
              </a:graphicData>
            </a:graphic>
          </wp:inline>
        </w:drawing>
      </w:r>
    </w:p>
    <w:p w14:paraId="2B635DD4" w14:textId="243EEDAE" w:rsidR="002177B8" w:rsidRDefault="00F6129F" w:rsidP="00B338A6">
      <w:pPr>
        <w:rPr>
          <w:lang w:val="nl-NL"/>
        </w:rPr>
      </w:pPr>
      <w:r w:rsidRPr="00F6129F">
        <w:rPr>
          <w:lang w:val="nl-NL"/>
        </w:rPr>
        <w:drawing>
          <wp:inline distT="0" distB="0" distL="0" distR="0" wp14:anchorId="1D30E037" wp14:editId="0F592184">
            <wp:extent cx="5760720" cy="861695"/>
            <wp:effectExtent l="0" t="0" r="0" b="0"/>
            <wp:docPr id="2012836357" name="Afbeelding 1" descr="Afbeelding met tekst, software, Lettertype, Computerpicto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36357" name="Afbeelding 1" descr="Afbeelding met tekst, software, Lettertype, Computerpictogram&#10;&#10;Door AI gegenereerde inhoud is mogelijk onjuist."/>
                    <pic:cNvPicPr/>
                  </pic:nvPicPr>
                  <pic:blipFill>
                    <a:blip r:embed="rId5"/>
                    <a:stretch>
                      <a:fillRect/>
                    </a:stretch>
                  </pic:blipFill>
                  <pic:spPr>
                    <a:xfrm>
                      <a:off x="0" y="0"/>
                      <a:ext cx="5760720" cy="861695"/>
                    </a:xfrm>
                    <a:prstGeom prst="rect">
                      <a:avLst/>
                    </a:prstGeom>
                  </pic:spPr>
                </pic:pic>
              </a:graphicData>
            </a:graphic>
          </wp:inline>
        </w:drawing>
      </w:r>
    </w:p>
    <w:p w14:paraId="755AD45D" w14:textId="77777777" w:rsidR="002177B8" w:rsidRDefault="002177B8" w:rsidP="00B338A6">
      <w:pPr>
        <w:rPr>
          <w:lang w:val="nl-NL"/>
        </w:rPr>
      </w:pPr>
      <w:r>
        <w:rPr>
          <w:lang w:val="nl-NL"/>
        </w:rPr>
        <w:t>En hier de stand op het schrijven van het verslag</w:t>
      </w:r>
    </w:p>
    <w:p w14:paraId="06CAF717" w14:textId="40AD755F" w:rsidR="002177B8" w:rsidRDefault="00F6129F" w:rsidP="00B338A6">
      <w:pPr>
        <w:rPr>
          <w:lang w:val="nl-NL"/>
        </w:rPr>
      </w:pPr>
      <w:r w:rsidRPr="00F6129F">
        <w:rPr>
          <w:lang w:val="nl-NL"/>
        </w:rPr>
        <w:drawing>
          <wp:inline distT="0" distB="0" distL="0" distR="0" wp14:anchorId="0EBB2E63" wp14:editId="47C01B0C">
            <wp:extent cx="5760720" cy="671195"/>
            <wp:effectExtent l="0" t="0" r="0" b="0"/>
            <wp:docPr id="9018224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822437" name=""/>
                    <pic:cNvPicPr/>
                  </pic:nvPicPr>
                  <pic:blipFill>
                    <a:blip r:embed="rId6"/>
                    <a:stretch>
                      <a:fillRect/>
                    </a:stretch>
                  </pic:blipFill>
                  <pic:spPr>
                    <a:xfrm>
                      <a:off x="0" y="0"/>
                      <a:ext cx="5760720" cy="671195"/>
                    </a:xfrm>
                    <a:prstGeom prst="rect">
                      <a:avLst/>
                    </a:prstGeom>
                  </pic:spPr>
                </pic:pic>
              </a:graphicData>
            </a:graphic>
          </wp:inline>
        </w:drawing>
      </w:r>
      <w:r w:rsidR="002177B8">
        <w:rPr>
          <w:lang w:val="nl-NL"/>
        </w:rPr>
        <w:br/>
      </w:r>
      <w:r>
        <w:rPr>
          <w:lang w:val="nl-NL"/>
        </w:rPr>
        <w:t>En crediteuren op 0</w:t>
      </w:r>
      <w:r>
        <w:rPr>
          <w:lang w:val="nl-NL"/>
        </w:rPr>
        <w:br/>
      </w:r>
      <w:r>
        <w:rPr>
          <w:lang w:val="nl-NL"/>
        </w:rPr>
        <w:br/>
        <w:t>De reden waarom er veel debiteuren en crediteuren openstonden aan het einde van het jaar is omdat de betalingen pas in januari, februari en maart werden gedaan. Zoals het geld van alle kamprekeningen terug te storten naar de main JWG rekening.</w:t>
      </w:r>
    </w:p>
    <w:p w14:paraId="1DD81193" w14:textId="2EDC4B28" w:rsidR="00F6129F" w:rsidRDefault="00F6129F" w:rsidP="00B338A6">
      <w:pPr>
        <w:rPr>
          <w:lang w:val="nl-NL"/>
        </w:rPr>
      </w:pPr>
      <w:r>
        <w:rPr>
          <w:lang w:val="nl-NL"/>
        </w:rPr>
        <w:lastRenderedPageBreak/>
        <w:t xml:space="preserve">Pelser-Hartman is natuurlijk de borg van de opslag. </w:t>
      </w:r>
    </w:p>
    <w:p w14:paraId="15AF13FA" w14:textId="77777777" w:rsidR="00F6129F" w:rsidRDefault="00F6129F" w:rsidP="00B338A6">
      <w:pPr>
        <w:rPr>
          <w:lang w:val="nl-NL"/>
        </w:rPr>
      </w:pPr>
      <w:r>
        <w:rPr>
          <w:lang w:val="nl-NL"/>
        </w:rPr>
        <w:t>2024 liep aardig goed, op de contributies hadden natuurlijk beter gelet kunnen worden. Het HB gaat hier ook mij als penningmeester hier beter op controleren en helpen of dit ook goed gedaan wordt. Met de ING was het nog eventjes worstelen om de oude rekeningen te sluiten, dit is ondertussen wel gelukt in 2025, de bankkosten zouden dus lager moeten uitvallen in 2025.</w:t>
      </w:r>
      <w:r>
        <w:rPr>
          <w:lang w:val="nl-NL"/>
        </w:rPr>
        <w:br/>
        <w:t xml:space="preserve">Met de Kasco is overlegd om eerder af te spreken in het jaar, beiden voor de contributies en om de eerdere kampen sneller af te ronden. Dit zou veel werk schelen begin 2026. </w:t>
      </w:r>
    </w:p>
    <w:p w14:paraId="2A496979" w14:textId="0F52845A" w:rsidR="002177B8" w:rsidRDefault="00F6129F" w:rsidP="00B338A6">
      <w:pPr>
        <w:rPr>
          <w:lang w:val="nl-NL"/>
        </w:rPr>
      </w:pPr>
      <w:r>
        <w:rPr>
          <w:lang w:val="nl-NL"/>
        </w:rPr>
        <w:t xml:space="preserve">Ten slot ons verlies dit jaar. Het lijkt heel groot, namelijk 7697 euro, maar we hadden afgesproken om 10000 euro te schenken aan StuV. Als we dit niet gedaan hadden, hadden we een winst van €2300. Dit komt voornamelijk door de hoge winsten van de kampen. </w:t>
      </w:r>
      <w:r>
        <w:rPr>
          <w:lang w:val="nl-NL"/>
        </w:rPr>
        <w:br/>
      </w:r>
      <w:r>
        <w:rPr>
          <w:lang w:val="nl-NL"/>
        </w:rPr>
        <w:br/>
        <w:t xml:space="preserve">Ik vind het wel een mooi jaar geweest. Ik kijk vooruit naar hopelijk mijn laatste jaar als we nog een penningmeester zien te vinden voor 2026. Dus heb je grote opmerkingen op dit verslag, meld je aan </w:t>
      </w:r>
      <w:r w:rsidRPr="00F6129F">
        <w:rPr>
          <mc:AlternateContent>
            <mc:Choice Requires="w16se"/>
            <mc:Fallback>
              <w:rFonts w:ascii="Segoe UI Emoji" w:eastAsia="Segoe UI Emoji" w:hAnsi="Segoe UI Emoji" w:cs="Segoe UI Emoji"/>
            </mc:Fallback>
          </mc:AlternateContent>
          <w:lang w:val="nl-NL"/>
        </w:rPr>
        <mc:AlternateContent>
          <mc:Choice Requires="w16se">
            <w16se:symEx w16se:font="Segoe UI Emoji" w16se:char="1F609"/>
          </mc:Choice>
          <mc:Fallback>
            <w:t>😉</w:t>
          </mc:Fallback>
        </mc:AlternateContent>
      </w:r>
    </w:p>
    <w:p w14:paraId="3ECE0A4E" w14:textId="3F8223F5" w:rsidR="002177B8" w:rsidRDefault="002177B8" w:rsidP="00B338A6">
      <w:pPr>
        <w:rPr>
          <w:lang w:val="nl-NL"/>
        </w:rPr>
      </w:pPr>
      <w:r>
        <w:rPr>
          <w:lang w:val="nl-NL"/>
        </w:rPr>
        <w:t>Tot het volgende boekjaar,</w:t>
      </w:r>
      <w:r>
        <w:rPr>
          <w:lang w:val="nl-NL"/>
        </w:rPr>
        <w:br/>
        <w:t>Vladimir van Dongen</w:t>
      </w:r>
      <w:r>
        <w:rPr>
          <w:lang w:val="nl-NL"/>
        </w:rPr>
        <w:br/>
        <w:t xml:space="preserve">Penningmeester JWG. </w:t>
      </w:r>
    </w:p>
    <w:p w14:paraId="715FD4B3" w14:textId="046FC780" w:rsidR="002875D8" w:rsidRPr="002875D8" w:rsidRDefault="002875D8" w:rsidP="002875D8">
      <w:pPr>
        <w:tabs>
          <w:tab w:val="left" w:pos="2322"/>
        </w:tabs>
        <w:rPr>
          <w:lang w:val="nl-NL"/>
        </w:rPr>
      </w:pPr>
      <w:r>
        <w:rPr>
          <w:lang w:val="nl-NL"/>
        </w:rPr>
        <w:tab/>
      </w:r>
    </w:p>
    <w:sectPr w:rsidR="002875D8" w:rsidRPr="002875D8" w:rsidSect="00CF3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99"/>
    <w:rsid w:val="00076BCC"/>
    <w:rsid w:val="00092B22"/>
    <w:rsid w:val="000F1A99"/>
    <w:rsid w:val="00125E14"/>
    <w:rsid w:val="00174465"/>
    <w:rsid w:val="002177B8"/>
    <w:rsid w:val="002875D8"/>
    <w:rsid w:val="002D1B3D"/>
    <w:rsid w:val="003241F7"/>
    <w:rsid w:val="003812B2"/>
    <w:rsid w:val="003B7268"/>
    <w:rsid w:val="003C0EE6"/>
    <w:rsid w:val="0044591D"/>
    <w:rsid w:val="00537157"/>
    <w:rsid w:val="00546AB2"/>
    <w:rsid w:val="00551454"/>
    <w:rsid w:val="006232A3"/>
    <w:rsid w:val="006B3BE7"/>
    <w:rsid w:val="006E00A6"/>
    <w:rsid w:val="006F53C1"/>
    <w:rsid w:val="00775141"/>
    <w:rsid w:val="007B43E1"/>
    <w:rsid w:val="00916E98"/>
    <w:rsid w:val="00921D43"/>
    <w:rsid w:val="00940E63"/>
    <w:rsid w:val="00AD5D20"/>
    <w:rsid w:val="00AE6D86"/>
    <w:rsid w:val="00B338A6"/>
    <w:rsid w:val="00B64619"/>
    <w:rsid w:val="00B7731A"/>
    <w:rsid w:val="00B810F9"/>
    <w:rsid w:val="00BE773A"/>
    <w:rsid w:val="00C15FEC"/>
    <w:rsid w:val="00CD3EC2"/>
    <w:rsid w:val="00CF3571"/>
    <w:rsid w:val="00D02621"/>
    <w:rsid w:val="00D24C05"/>
    <w:rsid w:val="00EA2AB4"/>
    <w:rsid w:val="00F31EF0"/>
    <w:rsid w:val="00F6129F"/>
    <w:rsid w:val="00FC5E8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4003"/>
  <w15:chartTrackingRefBased/>
  <w15:docId w15:val="{BDB299ED-4788-4EB1-B592-F69A4A8D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1A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0F1A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F1A9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F1A9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F1A9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F1A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1A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1A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1A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1A9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0F1A9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F1A9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F1A9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F1A9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F1A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1A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1A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1A99"/>
    <w:rPr>
      <w:rFonts w:eastAsiaTheme="majorEastAsia" w:cstheme="majorBidi"/>
      <w:color w:val="272727" w:themeColor="text1" w:themeTint="D8"/>
    </w:rPr>
  </w:style>
  <w:style w:type="paragraph" w:styleId="Titel">
    <w:name w:val="Title"/>
    <w:basedOn w:val="Standaard"/>
    <w:next w:val="Standaard"/>
    <w:link w:val="TitelChar"/>
    <w:uiPriority w:val="10"/>
    <w:qFormat/>
    <w:rsid w:val="000F1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qFormat/>
    <w:rsid w:val="000F1A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1A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1A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1A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1A99"/>
    <w:rPr>
      <w:i/>
      <w:iCs/>
      <w:color w:val="404040" w:themeColor="text1" w:themeTint="BF"/>
    </w:rPr>
  </w:style>
  <w:style w:type="paragraph" w:styleId="Lijstalinea">
    <w:name w:val="List Paragraph"/>
    <w:basedOn w:val="Standaard"/>
    <w:uiPriority w:val="34"/>
    <w:qFormat/>
    <w:rsid w:val="000F1A99"/>
    <w:pPr>
      <w:ind w:left="720"/>
      <w:contextualSpacing/>
    </w:pPr>
  </w:style>
  <w:style w:type="character" w:styleId="Intensievebenadrukking">
    <w:name w:val="Intense Emphasis"/>
    <w:basedOn w:val="Standaardalinea-lettertype"/>
    <w:uiPriority w:val="21"/>
    <w:qFormat/>
    <w:rsid w:val="000F1A99"/>
    <w:rPr>
      <w:i/>
      <w:iCs/>
      <w:color w:val="2F5496" w:themeColor="accent1" w:themeShade="BF"/>
    </w:rPr>
  </w:style>
  <w:style w:type="paragraph" w:styleId="Duidelijkcitaat">
    <w:name w:val="Intense Quote"/>
    <w:basedOn w:val="Standaard"/>
    <w:next w:val="Standaard"/>
    <w:link w:val="DuidelijkcitaatChar"/>
    <w:uiPriority w:val="30"/>
    <w:qFormat/>
    <w:rsid w:val="000F1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F1A99"/>
    <w:rPr>
      <w:i/>
      <w:iCs/>
      <w:color w:val="2F5496" w:themeColor="accent1" w:themeShade="BF"/>
    </w:rPr>
  </w:style>
  <w:style w:type="character" w:styleId="Intensieveverwijzing">
    <w:name w:val="Intense Reference"/>
    <w:basedOn w:val="Standaardalinea-lettertype"/>
    <w:uiPriority w:val="32"/>
    <w:qFormat/>
    <w:rsid w:val="000F1A99"/>
    <w:rPr>
      <w:b/>
      <w:bCs/>
      <w:smallCaps/>
      <w:color w:val="2F5496" w:themeColor="accent1" w:themeShade="BF"/>
      <w:spacing w:val="5"/>
    </w:rPr>
  </w:style>
  <w:style w:type="table" w:styleId="Tabelraster">
    <w:name w:val="Table Grid"/>
    <w:basedOn w:val="Standaardtabel"/>
    <w:uiPriority w:val="39"/>
    <w:rsid w:val="00B338A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5">
    <w:name w:val="Grid Table 5 Dark Accent 5"/>
    <w:basedOn w:val="Standaardtabel"/>
    <w:uiPriority w:val="50"/>
    <w:rsid w:val="00B338A6"/>
    <w:pPr>
      <w:suppressAutoHyphens/>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1046</Words>
  <Characters>5964</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van Dongen</dc:creator>
  <cp:keywords/>
  <dc:description/>
  <cp:lastModifiedBy>vladimir van Dongen</cp:lastModifiedBy>
  <cp:revision>5</cp:revision>
  <dcterms:created xsi:type="dcterms:W3CDTF">2024-04-06T05:34:00Z</dcterms:created>
  <dcterms:modified xsi:type="dcterms:W3CDTF">2025-04-04T12:40:00Z</dcterms:modified>
</cp:coreProperties>
</file>